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F2" w:rsidRDefault="008750F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2939273"/>
            <wp:effectExtent l="19050" t="0" r="3175" b="0"/>
            <wp:docPr id="4" name="Рисунок 4" descr="https://img05.rl0.ru/b2b7dca5ad5ba1b6daa2cdb676e040b4/c1920x950/upload.wikimedia.org/wikipedia/commons/4/4c/Admiral_Kuznetsov_aircraft_ca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5.rl0.ru/b2b7dca5ad5ba1b6daa2cdb676e040b4/c1920x950/upload.wikimedia.org/wikipedia/commons/4/4c/Admiral_Kuznetsov_aircraft_carr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0F2">
        <w:rPr>
          <w:rFonts w:ascii="Arial" w:hAnsi="Arial" w:cs="Arial"/>
          <w:b/>
          <w:iCs/>
          <w:color w:val="C00000"/>
          <w:sz w:val="32"/>
          <w:szCs w:val="32"/>
          <w:shd w:val="clear" w:color="auto" w:fill="FFFFFF"/>
        </w:rPr>
        <w:t>авианосцы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(Адмирал Кузнецов)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— корабли, являющиеся плавучими аэродромами и ангарами для самолетов и вертолетов или стартовой площадкой для реактивных снарядов. В зависимости от выполняемой задачи и водоизмещения авианосцы подразделяются на следующие подклассы: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тяжелые (ударные) авианосцы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водоизмещением до 85 000 г, размещающие и обслуживающие до 120 самолетов;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легкие авианосцы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до 27 000 т водоизмещением, принимающие до 80 самолетов;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конвойные авианосцы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относительно небольшого водоизмещения (до 10 000 т), несущие до 30 истребителей или вертолетов, предназначенных для противовоздушного и противолодочного конвоя морских караванов;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5715000" cy="3467100"/>
            <wp:effectExtent l="19050" t="0" r="0" b="0"/>
            <wp:docPr id="7" name="Рисунок 7" descr="http://cdn2.russian7.ru/wp-content/uploads/2014/12/Russian_Battle_Cruiser_Pyotr_Veli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2.russian7.ru/wp-content/uploads/2014/12/Russian_Battle_Cruiser_Pyotr_Velik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0F2">
        <w:rPr>
          <w:rFonts w:ascii="Arial" w:hAnsi="Arial" w:cs="Arial"/>
          <w:b/>
          <w:iCs/>
          <w:color w:val="C00000"/>
          <w:sz w:val="32"/>
          <w:szCs w:val="32"/>
          <w:shd w:val="clear" w:color="auto" w:fill="FFFFFF"/>
        </w:rPr>
        <w:t>крейсеры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 (Пётр Великий)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— корабли, предназначенные для защиты своих морских путей, для нанесения ударов по базам и объектам врага, для прикрытия караванов своих судов и десантов на переходе в море, а также для выполнения других оперативных задач.</w:t>
      </w:r>
      <w:proofErr w:type="gram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В соответствии с вооружением и броневой защитой крейсеры разделяют на следующие подклассы: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тяжелые, легкие и вспомогательные крейсеры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 w:rsidR="00B33DC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://sdelanounas.ru/i/c/z/a/f_czAwLnlhcGxha2FsLmNvbS9waWNzL3BpY3NfcHJldmlldy84LzcvMS80NzMwMTc4LmpwZz9fX2lkPTU5NTI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elanounas.ru/i/c/z/a/f_czAwLnlhcGxha2FsLmNvbS9waWNzL3BpY3NfcHJldmlldy84LzcvMS80NzMwMTc4LmpwZz9fX2lkPTU5NTI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DC0">
        <w:rPr>
          <w:rFonts w:ascii="Arial" w:hAnsi="Arial" w:cs="Arial"/>
          <w:b/>
          <w:iCs/>
          <w:color w:val="C00000"/>
          <w:sz w:val="32"/>
          <w:szCs w:val="32"/>
          <w:shd w:val="clear" w:color="auto" w:fill="FFFFFF"/>
        </w:rPr>
        <w:t>подводные лодки</w:t>
      </w:r>
      <w:r w:rsidR="00B33DC0">
        <w:rPr>
          <w:rStyle w:val="apple-converted-space"/>
          <w:rFonts w:ascii="Arial" w:hAnsi="Arial" w:cs="Arial"/>
          <w:color w:val="444444"/>
          <w:shd w:val="clear" w:color="auto" w:fill="FFFFFF"/>
        </w:rPr>
        <w:t> (</w:t>
      </w:r>
      <w:r w:rsidR="00B33DC0">
        <w:rPr>
          <w:rFonts w:ascii="Arial" w:hAnsi="Arial" w:cs="Arial"/>
          <w:color w:val="444444"/>
          <w:shd w:val="clear" w:color="auto" w:fill="FFFFFF"/>
        </w:rPr>
        <w:t>Ракетный подводный крейсер стратегического назначения «Юрий Долгорукий»)</w:t>
      </w:r>
      <w:proofErr w:type="gramStart"/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—к</w:t>
      </w:r>
      <w:proofErr w:type="gramEnd"/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орабли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, имеющие значительные преимущества перед надводными кораблями: скрытость маневра и внезапность удара по противнику. Основным назначением подводных лодок являются боевые действия на морских путях противника, выполнение заданий всех видов разведки (в том числе и радиолокационного дозора) и обстрел реактивными ракетами любых целей противника.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В соответствии с вооружением подводные лодки подразделяются на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ракетоносцы, ракетно-торпедные, торпедные, минно-торпедные и специального назначения — транспортные лодки, лодки радиолокационного дозора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и пр.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В зависимости от водоизмещения подводные лодки делятся на подклассы: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большие подводные лодки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водоизмещением в подводном состоянии до 8200 г, достигающие максимальной скорости хода 25 </w:t>
      </w:r>
      <w:proofErr w:type="spell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узл</w:t>
      </w:r>
      <w:proofErr w:type="spell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, оборудованные атомной силовой установкой, с неограниченным районом плавания, их подводная автономность достигает 60 суток, глубина погружения — до 450 м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средние подводные лодки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подводным водоизмещением до 1500 т и скоростью хода 15—20 </w:t>
      </w:r>
      <w:proofErr w:type="spell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узл</w:t>
      </w:r>
      <w:proofErr w:type="spell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наконец</w:t>
      </w:r>
      <w:proofErr w:type="gramEnd"/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малые подводные лодки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подводного водоизмещения до 550 т. К этому подклассу относятся и карликовые подводные лодки водоизмещением до 3 т, используемые для диверсий в базах противника;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 w:rsidR="00B33DC0">
        <w:rPr>
          <w:noProof/>
          <w:lang w:eastAsia="ru-RU"/>
        </w:rPr>
        <w:lastRenderedPageBreak/>
        <w:drawing>
          <wp:inline distT="0" distB="0" distL="0" distR="0">
            <wp:extent cx="5940425" cy="2035401"/>
            <wp:effectExtent l="19050" t="0" r="3175" b="0"/>
            <wp:docPr id="16" name="Рисунок 16" descr="http://armsdata.net/russia/basepic/clip_image004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rmsdata.net/russia/basepic/clip_image004_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33DC0">
        <w:rPr>
          <w:rFonts w:ascii="Arial" w:hAnsi="Arial" w:cs="Arial"/>
          <w:b/>
          <w:iCs/>
          <w:color w:val="C00000"/>
          <w:sz w:val="32"/>
          <w:szCs w:val="32"/>
          <w:shd w:val="clear" w:color="auto" w:fill="FFFFFF"/>
        </w:rPr>
        <w:t>эскадренные миноносцы (эсминцы)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— корабли многоцелевого назначения, предназначаемые для нанесения мощного ракетного, торпедного и артиллерийского ударов по кораблям противника, для дозорной и разведывательной служб в море, для охраны крупных кораблей от надводных, воздушных и подводных атак, для постановки минных заграждений, для артиллерийской поддержки сухопутных сил и уничтожения подводных лодок противника.</w:t>
      </w:r>
      <w:proofErr w:type="gramEnd"/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Водоизмещение эскадренных миноносцев достигает 5000 т при скорости хода до 40 </w:t>
      </w:r>
      <w:proofErr w:type="spellStart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узл</w:t>
      </w:r>
      <w:proofErr w:type="spellEnd"/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и дальности плавания 5000 миль и более;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  <w:r w:rsidR="00B33DC0">
        <w:rPr>
          <w:noProof/>
          <w:lang w:eastAsia="ru-RU"/>
        </w:rPr>
        <w:drawing>
          <wp:inline distT="0" distB="0" distL="0" distR="0">
            <wp:extent cx="3143250" cy="2362200"/>
            <wp:effectExtent l="19050" t="0" r="0" b="0"/>
            <wp:docPr id="19" name="Рисунок 19" descr="http://milita.jofo.ru/data/userfiles/7009/images/809879-330px-zarechny_(para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lita.jofo.ru/data/userfiles/7009/images/809879-330px-zarechny_(parad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DC0">
        <w:rPr>
          <w:rFonts w:ascii="Arial" w:hAnsi="Arial" w:cs="Arial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color w:val="003366"/>
          <w:sz w:val="20"/>
          <w:szCs w:val="20"/>
        </w:rPr>
        <w:br/>
      </w:r>
      <w:proofErr w:type="spellStart"/>
      <w:r w:rsidRPr="00B33DC0">
        <w:rPr>
          <w:rFonts w:ascii="Arial" w:hAnsi="Arial" w:cs="Arial"/>
          <w:b/>
          <w:i/>
          <w:iCs/>
          <w:color w:val="C00000"/>
          <w:sz w:val="32"/>
          <w:szCs w:val="32"/>
          <w:shd w:val="clear" w:color="auto" w:fill="FFFFFF"/>
        </w:rPr>
        <w:t>катера-ракетоносцы</w:t>
      </w:r>
      <w:proofErr w:type="gramStart"/>
      <w:r w:rsidRPr="00B33DC0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,</w:t>
      </w:r>
      <w:r w:rsidR="00B33DC0" w:rsidRPr="00B57D4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т</w:t>
      </w:r>
      <w:proofErr w:type="gramEnd"/>
      <w:r w:rsidR="00B33DC0" w:rsidRPr="00B57D4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ипа</w:t>
      </w:r>
      <w:proofErr w:type="spellEnd"/>
      <w:r w:rsidR="00B33DC0" w:rsidRPr="00B57D4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«Молния</w:t>
      </w:r>
      <w:r w:rsidR="00B33DC0">
        <w:rPr>
          <w:rFonts w:ascii="Arial" w:hAnsi="Arial" w:cs="Arial"/>
          <w:color w:val="003366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предназначенные для нанесения удара управляемыми реактивными снарядами (УРС) по всем объектам противника в открытом море;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 w:rsidR="00B33DC0" w:rsidRPr="00B33DC0">
        <w:rPr>
          <w:rFonts w:ascii="Arial" w:hAnsi="Arial" w:cs="Arial"/>
          <w:color w:val="003366"/>
          <w:sz w:val="20"/>
          <w:szCs w:val="20"/>
          <w:shd w:val="clear" w:color="auto" w:fill="FFFFFF"/>
        </w:rPr>
        <w:t>Современные ракетные катера сохраняют небольшое водоизмещение (100—500 т) и высокую скорость (30-50 уз). Типичное вооружение — 4 контейнера противокорабельных ракет и малокалиберная артиллерия (20-40 мм). Как правило, реализован динамический принцип поддержания — катера строятся глиссирующие, или на подводных крыльях, реже на воздушной подушке или экранном эффекте.</w:t>
      </w:r>
      <w:r w:rsidRPr="00B33DC0">
        <w:rPr>
          <w:rFonts w:ascii="Arial" w:hAnsi="Arial" w:cs="Arial"/>
          <w:color w:val="0033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3366"/>
          <w:sz w:val="20"/>
          <w:szCs w:val="20"/>
        </w:rPr>
        <w:br/>
      </w:r>
    </w:p>
    <w:p w:rsidR="008750F2" w:rsidRDefault="008750F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8750F2" w:rsidRDefault="008750F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8750F2" w:rsidRDefault="008750F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8750F2" w:rsidRDefault="008750F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A636D5" w:rsidRDefault="008750F2">
      <w:pP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lastRenderedPageBreak/>
        <w:t>(</w:t>
      </w:r>
      <w:r w:rsidR="00B57D42">
        <w:rPr>
          <w:noProof/>
          <w:lang w:eastAsia="ru-RU"/>
        </w:rPr>
        <w:drawing>
          <wp:inline distT="0" distB="0" distL="0" distR="0">
            <wp:extent cx="5940425" cy="3787021"/>
            <wp:effectExtent l="19050" t="0" r="3175" b="0"/>
            <wp:docPr id="22" name="Рисунок 22" descr="https://img06.rl0.ru/96e8d4e1aeb16c3bc991267fd2105bae/c1600x1020/toparmy.ru/wp-content/uploads/2015/03/Bolshoy_desantnyy_korabl_BDK-182_foto_90-ye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06.rl0.ru/96e8d4e1aeb16c3bc991267fd2105bae/c1600x1020/toparmy.ru/wp-content/uploads/2015/03/Bolshoy_desantnyy_korabl_BDK-182_foto_90-yeg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D42">
        <w:rPr>
          <w:rFonts w:ascii="Arial" w:hAnsi="Arial" w:cs="Arial"/>
          <w:b/>
          <w:i/>
          <w:iCs/>
          <w:color w:val="C00000"/>
          <w:sz w:val="32"/>
          <w:szCs w:val="32"/>
          <w:shd w:val="clear" w:color="auto" w:fill="FFFFFF"/>
        </w:rPr>
        <w:t>десантные корабли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, подразделяющиеся на подклассы: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войсковые транспорты; грузовые транспорты; транспортные доки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366"/>
          <w:sz w:val="20"/>
          <w:szCs w:val="20"/>
          <w:shd w:val="clear" w:color="auto" w:fill="FFFFFF"/>
        </w:rPr>
        <w:t>с палубой в корме, над камерой дока, для вертолетов;</w:t>
      </w:r>
      <w:r>
        <w:rPr>
          <w:rStyle w:val="apple-converted-space"/>
          <w:rFonts w:ascii="Arial" w:hAnsi="Arial" w:cs="Arial"/>
          <w:color w:val="0033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3366"/>
          <w:sz w:val="20"/>
          <w:szCs w:val="20"/>
          <w:shd w:val="clear" w:color="auto" w:fill="FFFFFF"/>
        </w:rPr>
        <w:t>быстроходны</w:t>
      </w:r>
    </w:p>
    <w:p w:rsidR="00B57D42" w:rsidRDefault="00B57D42">
      <w:r>
        <w:rPr>
          <w:noProof/>
          <w:lang w:eastAsia="ru-RU"/>
        </w:rPr>
        <w:drawing>
          <wp:inline distT="0" distB="0" distL="0" distR="0">
            <wp:extent cx="5940425" cy="3989838"/>
            <wp:effectExtent l="19050" t="0" r="3175" b="0"/>
            <wp:docPr id="25" name="Рисунок 25" descr="Новые десантные корабли для ВМФ России: что именно заказали военные и что это может им д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овые десантные корабли для ВМФ России: что именно заказали военные и что это может им дать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D42" w:rsidSect="00A6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F2"/>
    <w:rsid w:val="008750F2"/>
    <w:rsid w:val="00A636D5"/>
    <w:rsid w:val="00B33DC0"/>
    <w:rsid w:val="00B5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0F2"/>
  </w:style>
  <w:style w:type="paragraph" w:styleId="a3">
    <w:name w:val="Balloon Text"/>
    <w:basedOn w:val="a"/>
    <w:link w:val="a4"/>
    <w:uiPriority w:val="99"/>
    <w:semiHidden/>
    <w:unhideWhenUsed/>
    <w:rsid w:val="0087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2016-11-15T05:02:00Z</dcterms:created>
  <dcterms:modified xsi:type="dcterms:W3CDTF">2016-11-15T05:31:00Z</dcterms:modified>
</cp:coreProperties>
</file>