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A4" w:rsidRDefault="00494595" w:rsidP="00325EE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438275"/>
            <wp:effectExtent l="19050" t="0" r="0" b="0"/>
            <wp:docPr id="6" name="Рисунок 6" descr="http://flot.com/science/weapons/images/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lot.com/science/weapons/images/g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С изобретением и распространением пороха корабли получили новое, очень мощное по тем временам вооружение. </w:t>
      </w:r>
      <w:proofErr w:type="gram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Первой «прописалась» на флоте </w:t>
      </w:r>
      <w:r w:rsidRPr="005E5A53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бомбарда</w:t>
      </w:r>
      <w:r w:rsidRPr="00494595">
        <w:rPr>
          <w:rFonts w:ascii="Arial" w:hAnsi="Arial" w:cs="Arial"/>
          <w:color w:val="003366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(от лат. </w:t>
      </w:r>
      <w:proofErr w:type="spell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bombus</w:t>
      </w:r>
      <w:proofErr w:type="spell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— «громовой» и </w:t>
      </w:r>
      <w:proofErr w:type="spell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ardere</w:t>
      </w:r>
      <w:proofErr w:type="spell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— «гореть»), представлявшая собой крупнокалиберное артиллерийское орудие с цилиндрическим каналом, конструктивно состоявшее из двух отдельных частей: ствола в виде толстой и гладкой внутри трубы одинаковой по всей длине толщины, имевшей составную структуру (продольные кованые железные полосы сваривались вместе в длину и скреплялись набитыми на них тяжелыми железными обручами, натянутыми в</w:t>
      </w:r>
      <w:proofErr w:type="gram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горячем</w:t>
      </w:r>
      <w:proofErr w:type="gram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виде), и каморы — небольшой трубы меньшего, чем ствол, диаметра, имевшей глухое дно.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</w:p>
    <w:p w:rsidR="003B5BA4" w:rsidRPr="003B5BA4" w:rsidRDefault="003B5BA4" w:rsidP="003B5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ru-RU"/>
        </w:rPr>
        <w:drawing>
          <wp:inline distT="0" distB="0" distL="0" distR="0">
            <wp:extent cx="2381250" cy="1438275"/>
            <wp:effectExtent l="19050" t="0" r="0" b="0"/>
            <wp:docPr id="1" name="Рисунок 1" descr="http://flot.com/science/weapons/images/g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t.com/science/weapons/images/gr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BA4">
        <w:rPr>
          <w:rFonts w:ascii="Arial" w:eastAsia="Times New Roman" w:hAnsi="Arial" w:cs="Arial"/>
          <w:color w:val="003366"/>
          <w:sz w:val="20"/>
          <w:szCs w:val="20"/>
          <w:lang w:eastAsia="ru-RU"/>
        </w:rPr>
        <w:br/>
      </w:r>
      <w:r w:rsidRPr="005E5A53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Русский «единорог»</w:t>
      </w:r>
      <w:r w:rsidRPr="003B5BA4">
        <w:rPr>
          <w:rFonts w:ascii="Arial" w:eastAsia="Times New Roman" w:hAnsi="Arial" w:cs="Arial"/>
          <w:color w:val="003366"/>
          <w:sz w:val="15"/>
          <w:szCs w:val="15"/>
          <w:lang w:eastAsia="ru-RU"/>
        </w:rPr>
        <w:t xml:space="preserve"> </w:t>
      </w:r>
      <w:proofErr w:type="spellStart"/>
      <w:r w:rsidRPr="003B5BA4">
        <w:rPr>
          <w:rFonts w:ascii="Arial" w:eastAsia="Times New Roman" w:hAnsi="Arial" w:cs="Arial"/>
          <w:color w:val="003366"/>
          <w:sz w:val="15"/>
          <w:szCs w:val="15"/>
          <w:lang w:eastAsia="ru-RU"/>
        </w:rPr>
        <w:t>однофунтового</w:t>
      </w:r>
      <w:proofErr w:type="spellEnd"/>
      <w:r w:rsidRPr="003B5BA4">
        <w:rPr>
          <w:rFonts w:ascii="Arial" w:eastAsia="Times New Roman" w:hAnsi="Arial" w:cs="Arial"/>
          <w:color w:val="003366"/>
          <w:sz w:val="15"/>
          <w:szCs w:val="15"/>
          <w:lang w:eastAsia="ru-RU"/>
        </w:rPr>
        <w:t xml:space="preserve"> калибра (диаметр ствола — 50,8 мм), установленный на корабельном станке. Ствол отлит в 1843 году и украшен традиционным изображением мифического единорога</w:t>
      </w:r>
    </w:p>
    <w:p w:rsidR="003B5BA4" w:rsidRDefault="003B5BA4" w:rsidP="00325EEF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Однако в 1756 году в России артиллерийские офицеры М.В. Данилов и М.Г. Мартынов изобретают новое орудие гаубичного типа, названное «единорогом», способное стрелять любыми снарядами: бомбами, ядрами, картечью, </w:t>
      </w:r>
      <w:proofErr w:type="spell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брандскугелями</w:t>
      </w:r>
      <w:proofErr w:type="spell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и «светящимися» боеприпасами. Уже в следующем году русская армия получила пять вариантов «единорогов», а вскоре они появились и на флоте. Высокие качества нового орудия достигались за счет выгодной длины ствола (промежуточный вариант между длинными корабельными пушками длиной 18—25 калибров и гаубицами длиной 6—8 калибров) и каморы конической формы.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</w:p>
    <w:p w:rsidR="00494595" w:rsidRDefault="00494595" w:rsidP="00325EE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05670" cy="2790825"/>
            <wp:effectExtent l="19050" t="0" r="4330" b="0"/>
            <wp:docPr id="3" name="Рисунок 3" descr="http://flot.com/science/weapons/images/g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t.com/science/weapons/images/gr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7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A4" w:rsidRDefault="003B5BA4" w:rsidP="00325EE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lastRenderedPageBreak/>
        <w:t xml:space="preserve">Огонь же с близкой дистанции из крупнокалиберных </w:t>
      </w:r>
      <w:proofErr w:type="spellStart"/>
      <w:r w:rsidRPr="005E5A53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каронад</w:t>
      </w:r>
      <w:proofErr w:type="spellEnd"/>
      <w:r w:rsidRPr="00494595">
        <w:rPr>
          <w:rFonts w:ascii="Arial" w:hAnsi="Arial" w:cs="Arial"/>
          <w:color w:val="003366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с применением бомб и других боеприпасов позволял быстро вывести вражеский корабль из строя, принудить его спустить флаг или вовсе уничтожить его.</w:t>
      </w:r>
      <w:r w:rsidR="00494595" w:rsidRP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</w:t>
      </w:r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Бомба же большого калибра, разрывающаяся внутри корабля, наносила огромный ущерб корабельным конструкциям и разрывала находившихся там моряков. Кроме того, огонь быстро вызывал детонацию пороховых зарядов на артиллерийских палубах и зачастую в корабельных погребах. Да и обычное ядро, выпущенное из </w:t>
      </w:r>
      <w:proofErr w:type="spellStart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>каронады</w:t>
      </w:r>
      <w:proofErr w:type="spellEnd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>, благодаря относительно малой скорости полета на коротких дистанциях буквально проламывало борт неприятельского корабля и даже расшатывало сам корабельный набор.</w:t>
      </w:r>
      <w:r w:rsidR="00494595"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 w:rsidR="00494595">
        <w:rPr>
          <w:rFonts w:ascii="Arial" w:hAnsi="Arial" w:cs="Arial"/>
          <w:color w:val="003366"/>
          <w:sz w:val="20"/>
          <w:szCs w:val="20"/>
        </w:rPr>
        <w:br/>
      </w:r>
      <w:r w:rsidR="00494595">
        <w:rPr>
          <w:rFonts w:ascii="Arial" w:hAnsi="Arial" w:cs="Arial"/>
          <w:color w:val="003366"/>
          <w:sz w:val="20"/>
          <w:szCs w:val="20"/>
        </w:rPr>
        <w:br/>
      </w:r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Крепление </w:t>
      </w:r>
      <w:proofErr w:type="spellStart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>каронад</w:t>
      </w:r>
      <w:proofErr w:type="spellEnd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на кораблях было несколько отличным: их устанавливали на ползунковых станках, а не на колесных. А наведение </w:t>
      </w:r>
      <w:proofErr w:type="spellStart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>каронады</w:t>
      </w:r>
      <w:proofErr w:type="spellEnd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на цель осуществлялось вращением воротка, как в полевой артиллерии (не с помощью деревянного клина, как у обычных корабельных пушек). </w:t>
      </w:r>
      <w:proofErr w:type="spellStart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>Каронада</w:t>
      </w:r>
      <w:proofErr w:type="spellEnd"/>
      <w:r w:rsidR="00494595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крепилась к станку при помощи проушины (внизу ствола) и вставленной в нее оси, а не с помощью цапф, расположенных по бокам обычной пушки.</w:t>
      </w:r>
    </w:p>
    <w:p w:rsidR="00494595" w:rsidRDefault="00494595" w:rsidP="00325EE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:rsidR="00494595" w:rsidRPr="00862620" w:rsidRDefault="00494595" w:rsidP="00325EE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F6EDB" w:rsidTr="006F6EDB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6EDB" w:rsidRPr="005E5A53" w:rsidRDefault="006F6EDB">
            <w:pPr>
              <w:pStyle w:val="1"/>
              <w:spacing w:before="0" w:line="300" w:lineRule="atLeast"/>
              <w:rPr>
                <w:rFonts w:ascii="Arial" w:hAnsi="Arial" w:cs="Arial"/>
                <w:color w:val="CC0000"/>
                <w:spacing w:val="24"/>
                <w:sz w:val="32"/>
                <w:szCs w:val="32"/>
              </w:rPr>
            </w:pPr>
            <w:r w:rsidRPr="005E5A53">
              <w:rPr>
                <w:rFonts w:ascii="Arial" w:eastAsiaTheme="minorHAnsi" w:hAnsi="Arial" w:cs="Arial"/>
                <w:bCs w:val="0"/>
                <w:color w:val="C00000"/>
                <w:sz w:val="32"/>
                <w:szCs w:val="32"/>
                <w:shd w:val="clear" w:color="auto" w:fill="FFFFFF"/>
              </w:rPr>
              <w:t>УНИВЕРСАЛЬНАЯ ТЕПЛОВАЯ САМОНАВОДЯЩАЯСЯ ТОРПЕДА ТТ-3</w:t>
            </w:r>
          </w:p>
        </w:tc>
      </w:tr>
      <w:tr w:rsidR="006F6EDB" w:rsidTr="006F6E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6EDB" w:rsidRDefault="006F6EDB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6F6EDB" w:rsidRDefault="006F6EDB" w:rsidP="006F6EDB">
      <w:pPr>
        <w:pStyle w:val="a5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5495925" cy="752475"/>
            <wp:effectExtent l="19050" t="0" r="9525" b="0"/>
            <wp:docPr id="2" name="Рисунок 1" descr="http://armsdata.net/russia/basepic/clip_image002_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sdata.net/russia/basepic/clip_image002_0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  <w:t>Предназначена для уничтожения современных подводных лодок (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ПЛ</w:t>
      </w:r>
      <w:proofErr w:type="gramEnd"/>
      <w:r>
        <w:rPr>
          <w:rFonts w:ascii="Arial" w:hAnsi="Arial" w:cs="Arial"/>
          <w:color w:val="333333"/>
          <w:sz w:val="17"/>
          <w:szCs w:val="17"/>
        </w:rPr>
        <w:t>)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любых типов во всем диапазоне глу</w:t>
      </w:r>
      <w:r>
        <w:rPr>
          <w:rFonts w:ascii="Arial" w:hAnsi="Arial" w:cs="Arial"/>
          <w:color w:val="333333"/>
          <w:sz w:val="17"/>
          <w:szCs w:val="17"/>
        </w:rPr>
        <w:softHyphen/>
        <w:t>бин их хода, крупнотоннажных надводных кораблей (НК) и транспортов противника в любом районе Мирового океана.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Носители - подводные лодки и надводные корабли: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 российской постройки, ранее поставленные на экспорт, модернизи</w:t>
      </w:r>
      <w:r>
        <w:rPr>
          <w:rFonts w:ascii="Arial" w:hAnsi="Arial" w:cs="Arial"/>
          <w:color w:val="333333"/>
          <w:sz w:val="17"/>
          <w:szCs w:val="17"/>
        </w:rPr>
        <w:softHyphen/>
        <w:t>руемые и строящиеся (позволяет за</w:t>
      </w:r>
      <w:r>
        <w:rPr>
          <w:rFonts w:ascii="Arial" w:hAnsi="Arial" w:cs="Arial"/>
          <w:color w:val="333333"/>
          <w:sz w:val="17"/>
          <w:szCs w:val="17"/>
        </w:rPr>
        <w:softHyphen/>
        <w:t>менить торпеды СЭТ-53МЭ, СЭТ-65Э, СЭТ-65КЭ, 53-65КЭ);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 иностранной постройки, с адапта</w:t>
      </w:r>
      <w:r>
        <w:rPr>
          <w:rFonts w:ascii="Arial" w:hAnsi="Arial" w:cs="Arial"/>
          <w:color w:val="333333"/>
          <w:sz w:val="17"/>
          <w:szCs w:val="17"/>
        </w:rPr>
        <w:softHyphen/>
        <w:t>цией торпед к пусковым установкам, заряжающим устройствам, системам управления стрельбой.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 xml:space="preserve">Режим применения - автономный (по принципу «выстрелил - забыл»).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Состав боевой торпеды: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 боевое зарядное отделение с зарядом взрывчатого вещества и системой неконтактного и контактного взрывателей;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 тепловая, работающая на монотопливе, двухрежимная энергосиловая установка с турбинным двигателем и водометным движителем;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 xml:space="preserve">- бортовая электронная аппаратура, выполненная в виде единой аналого-цифровой автоматической системы с центральным процессором и периферийными устройствами (включающая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бесплатформенную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инерциальную навигационную систему управления;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адаптивную,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помехозащищенную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работоспособную в глубоком и мелком морях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активно</w:t>
      </w:r>
      <w:r>
        <w:rPr>
          <w:rFonts w:ascii="Arial" w:hAnsi="Arial" w:cs="Arial"/>
          <w:color w:val="333333"/>
          <w:sz w:val="17"/>
          <w:szCs w:val="17"/>
        </w:rPr>
        <w:softHyphen/>
        <w:t>пассивную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систему самонаведения по подводной лодке 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подструйную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систему самонаведения по НК). Практическая торпеда комплектуется (вместо боевого зарядного) практическим отделением с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аварийно</w:t>
      </w:r>
      <w:r>
        <w:rPr>
          <w:rFonts w:ascii="Arial" w:hAnsi="Arial" w:cs="Arial"/>
          <w:color w:val="333333"/>
          <w:sz w:val="17"/>
          <w:szCs w:val="17"/>
        </w:rPr>
        <w:softHyphen/>
        <w:t>стоповой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системой, аппаратурой регистрации параметров, системой спасения торпеды и приборами обнаружения.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Преимущества торпеды: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E5A53" w:rsidTr="005E5A53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5A53" w:rsidRPr="005E5A53" w:rsidRDefault="005E5A53">
            <w:pPr>
              <w:pStyle w:val="1"/>
              <w:spacing w:before="0" w:line="300" w:lineRule="atLeast"/>
              <w:rPr>
                <w:rFonts w:ascii="Arial" w:eastAsiaTheme="minorHAnsi" w:hAnsi="Arial" w:cs="Arial"/>
                <w:bCs w:val="0"/>
                <w:color w:val="C00000"/>
                <w:sz w:val="32"/>
                <w:szCs w:val="32"/>
                <w:shd w:val="clear" w:color="auto" w:fill="FFFFFF"/>
              </w:rPr>
            </w:pPr>
            <w:r w:rsidRPr="005E5A53">
              <w:rPr>
                <w:rFonts w:ascii="Arial" w:eastAsiaTheme="minorHAnsi" w:hAnsi="Arial" w:cs="Arial"/>
                <w:bCs w:val="0"/>
                <w:color w:val="C00000"/>
                <w:sz w:val="32"/>
                <w:szCs w:val="32"/>
                <w:shd w:val="clear" w:color="auto" w:fill="FFFFFF"/>
              </w:rPr>
              <w:t>МНОГОЦЕЛЕВОЙ РАКЕТНО-АРТИЛЛЕРИЙСКИЙ КОМПЛЕКС «ВИХРЬ-К» ДЛЯ НАДВОДНЫХ КОРАБЛЕЙ</w:t>
            </w:r>
          </w:p>
        </w:tc>
      </w:tr>
      <w:tr w:rsidR="005E5A53" w:rsidTr="005E5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5A53" w:rsidRPr="005E5A53" w:rsidRDefault="005E5A53">
            <w:pPr>
              <w:rPr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</w:tc>
      </w:tr>
    </w:tbl>
    <w:p w:rsidR="005E5A53" w:rsidRDefault="005E5A53" w:rsidP="005E5A53">
      <w:pPr>
        <w:pStyle w:val="a5"/>
        <w:shd w:val="clear" w:color="auto" w:fill="FFFFFF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3009900" cy="1666875"/>
            <wp:effectExtent l="19050" t="0" r="0" b="0"/>
            <wp:docPr id="12" name="Рисунок 12" descr="http://armsdata.net/russia/basepic/clip_image002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msdata.net/russia/basepic/clip_image002_0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  <w:t>Уникальные свойства комплекса «Вихрь-К», превосходящего все известные мировые аналоги, наиболее эффективно реализуются при оснащении им маневренных и быстроходных надводных кораблей, выполняющих таможенные и патрульные операции по охране побережья и территориальных вод.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Комплекс эффективно поражает днем и ночью в сложных метеоусло</w:t>
      </w:r>
      <w:r>
        <w:rPr>
          <w:rFonts w:ascii="Arial" w:hAnsi="Arial" w:cs="Arial"/>
          <w:color w:val="333333"/>
          <w:sz w:val="17"/>
          <w:szCs w:val="17"/>
        </w:rPr>
        <w:softHyphen/>
        <w:t>виях: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надводные цели: малые скоростные катера-нарушители, плавающие мины, а также боевые корабли среднего водоизмещения путем прицельного поражения жизненно важных систем корабля (рубка, двигательный отсек, хранилище боезапаса);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наземные цели: береговые наблюдательные пункты, маяки, мосты, переправы, бронированные и небронированные боевые машины;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воздушные цели: боевые вертолеты и самолеты, летящие со скоростью до 800 км/час.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Отличительные особенности комп</w:t>
      </w:r>
      <w:r>
        <w:rPr>
          <w:rFonts w:ascii="Arial" w:hAnsi="Arial" w:cs="Arial"/>
          <w:color w:val="333333"/>
          <w:sz w:val="17"/>
          <w:szCs w:val="17"/>
        </w:rPr>
        <w:softHyphen/>
        <w:t>лекса «Вихрь-К»: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компактность и малый вес комби</w:t>
      </w:r>
      <w:r>
        <w:rPr>
          <w:rFonts w:ascii="Arial" w:hAnsi="Arial" w:cs="Arial"/>
          <w:color w:val="333333"/>
          <w:sz w:val="17"/>
          <w:szCs w:val="17"/>
        </w:rPr>
        <w:softHyphen/>
        <w:t>нированного ракетно-артиллерийского вооружения позволяют размещать его на надводных кораблях водоизмещением от 20 т и выше;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возможность вести стрельбу на дальностях до 4000 м пушкой и ракетами до 10000 м в широких секторах наведения оружия в условиях маневрирования носителя;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единая для пушки и ракет круглосуточная система управления огнем с автоматическим сопровождением целей и измерением текущей дально</w:t>
      </w:r>
      <w:r>
        <w:rPr>
          <w:rFonts w:ascii="Arial" w:hAnsi="Arial" w:cs="Arial"/>
          <w:color w:val="333333"/>
          <w:sz w:val="17"/>
          <w:szCs w:val="17"/>
        </w:rPr>
        <w:softHyphen/>
        <w:t>сти обеспечивает высокую вероятность поражения ракетами и пушкой;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лазерная система наведения ракеты исключает влияние организованных и случайных помех;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  наличие в составе ракеты неконтактного датчика цели позволяет надежно поражать воздушные цели. Состав комплекса «Вихрь-К»: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 ракетно-артиллерийская установка АК-306М с четырьмя УР «Вихрь-1» и шестиствольной пуш</w:t>
      </w:r>
      <w:r>
        <w:rPr>
          <w:rFonts w:ascii="Arial" w:hAnsi="Arial" w:cs="Arial"/>
          <w:color w:val="333333"/>
          <w:sz w:val="17"/>
          <w:szCs w:val="17"/>
        </w:rPr>
        <w:softHyphen/>
        <w:t>кой ГШ-6-30Л с боекомплектом из 500 шт. 30-мм патронов;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 xml:space="preserve">-    стабилизированный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дневно-ночной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прицел с дальномером и лучевой системой наведения УР;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r>
        <w:rPr>
          <w:rFonts w:ascii="Arial" w:hAnsi="Arial" w:cs="Arial"/>
          <w:color w:val="333333"/>
          <w:sz w:val="17"/>
          <w:szCs w:val="17"/>
        </w:rPr>
        <w:br/>
        <w:t>-   автоматизированный пост управления комплексом с панелью управления, видеодисплеем, устройством сопровождения целей и вычислительной системой.</w:t>
      </w:r>
    </w:p>
    <w:p w:rsidR="006F6EDB" w:rsidRDefault="006F6EDB"/>
    <w:p w:rsidR="003448D5" w:rsidRDefault="003448D5">
      <w:r>
        <w:rPr>
          <w:noProof/>
          <w:lang w:eastAsia="ru-RU"/>
        </w:rPr>
        <w:drawing>
          <wp:inline distT="0" distB="0" distL="0" distR="0">
            <wp:extent cx="5940425" cy="3475149"/>
            <wp:effectExtent l="19050" t="0" r="3175" b="0"/>
            <wp:docPr id="5" name="Рисунок 6" descr="Демоны трёх стихий. «Калибр» против «Томагав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моны трёх стихий. «Калибр» против «Томагавка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D5" w:rsidRDefault="005E5A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91658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lastRenderedPageBreak/>
        <w:t>комплекса морского базирования «</w:t>
      </w:r>
      <w:proofErr w:type="spellStart"/>
      <w:r w:rsidRPr="00591658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Калибр-НК</w:t>
      </w:r>
      <w:proofErr w:type="spellEnd"/>
      <w:r w:rsidRPr="00591658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3448D5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Ракеты 3М-14Э служат для поражения наземных и надводных целей. Эта ракета может поражать не только корабли противника, но и объекты, находящиеся на суше: узлы управления, аэродромы, склады, объекты инфраструктуры. Она также имеет нормальную аэродинамическую схему, ее трапециевидные крылья раскрываются после запуска маршевого двигателя.</w:t>
      </w:r>
    </w:p>
    <w:p w:rsidR="005E5A53" w:rsidRDefault="005E5A53" w:rsidP="005E5A53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3М-14Э имеет две ступени: стартовую и маршевую. Стартовая ступень обеспечивает запуск ракеты, ее разгон. Она оснащена твердотопливным двигателем. Затем открываются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воздухозаборники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 включается турбореактивный двигатель маршевой ступени, который обеспечивает полет ракеты на основной части ее траектории. На этом участке она развивает околозвуковую скорость. Дальность полета — 300 км.</w:t>
      </w:r>
    </w:p>
    <w:p w:rsidR="005E5A53" w:rsidRDefault="005E5A53" w:rsidP="005E5A53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 наведения – комбинированная, она состоит из инерционной навигационной системы, РЛГСН, а также использует коррекцию с помощью сигналов спутников ГЛОНАСС или GPS.</w:t>
      </w:r>
    </w:p>
    <w:p w:rsidR="005E5A53" w:rsidRDefault="005E5A53" w:rsidP="005E5A53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 боевой части составляет 450 килограмм. Существует опция воздушного подрыва. Над морем полет происходит на высоте 20 метров, над сушей – 50-150 метров. Ракета может обходить зоны со сложным рельефом или области слишком насыщенные средствами ПВО противника. Для этого в ее полетное задание вносят специальные точки поворота.</w:t>
      </w:r>
    </w:p>
    <w:p w:rsidR="005E5A53" w:rsidRDefault="005E5A53" w:rsidP="005E5A53">
      <w:pPr>
        <w:pStyle w:val="a5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E5A53" w:rsidRDefault="005E5A53">
      <w:r>
        <w:rPr>
          <w:noProof/>
          <w:lang w:eastAsia="ru-RU"/>
        </w:rPr>
        <w:drawing>
          <wp:inline distT="0" distB="0" distL="0" distR="0">
            <wp:extent cx="5715000" cy="3886200"/>
            <wp:effectExtent l="19050" t="0" r="0" b="0"/>
            <wp:docPr id="9" name="Рисунок 9" descr=" 3М14Э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3М14Э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A53" w:rsidSect="0025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EF"/>
    <w:rsid w:val="00252DE9"/>
    <w:rsid w:val="002F1445"/>
    <w:rsid w:val="00325EEF"/>
    <w:rsid w:val="003448D5"/>
    <w:rsid w:val="003B5BA4"/>
    <w:rsid w:val="00494595"/>
    <w:rsid w:val="00584A54"/>
    <w:rsid w:val="00591658"/>
    <w:rsid w:val="005E5A53"/>
    <w:rsid w:val="006F6EDB"/>
    <w:rsid w:val="0083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F"/>
  </w:style>
  <w:style w:type="paragraph" w:styleId="1">
    <w:name w:val="heading 1"/>
    <w:basedOn w:val="a"/>
    <w:next w:val="a"/>
    <w:link w:val="10"/>
    <w:uiPriority w:val="9"/>
    <w:qFormat/>
    <w:rsid w:val="006F6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BA4"/>
  </w:style>
  <w:style w:type="character" w:customStyle="1" w:styleId="20">
    <w:name w:val="Заголовок 2 Знак"/>
    <w:basedOn w:val="a0"/>
    <w:link w:val="2"/>
    <w:uiPriority w:val="9"/>
    <w:rsid w:val="003B5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4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F6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F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2016-11-14T08:18:00Z</dcterms:created>
  <dcterms:modified xsi:type="dcterms:W3CDTF">2016-11-15T04:45:00Z</dcterms:modified>
</cp:coreProperties>
</file>